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5" w:rsidRDefault="001F3675">
      <w:pPr>
        <w:pStyle w:val="Nadpis51"/>
        <w:rPr>
          <w:rFonts w:ascii="Tahoma" w:hAnsi="Tahoma" w:cs="Tahoma"/>
          <w:sz w:val="20"/>
          <w:szCs w:val="20"/>
        </w:rPr>
      </w:pPr>
    </w:p>
    <w:p w:rsidR="001F3675" w:rsidRPr="002A423D" w:rsidRDefault="001F3675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1F3675" w:rsidRPr="00C60FFD" w:rsidRDefault="001F3675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F3675" w:rsidRPr="00C60FFD" w:rsidRDefault="001F3675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1F3675" w:rsidRDefault="001F3675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1F3675" w:rsidRDefault="001F3675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1F3675" w:rsidRPr="00C60FFD" w:rsidRDefault="001F3675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F3675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2A423D" w:rsidRDefault="001F3675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1F3675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1F3675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1F3675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F3675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F3675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5" w:rsidRPr="00C60FFD" w:rsidRDefault="001F3675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1F3675" w:rsidRPr="00C60FFD" w:rsidRDefault="001F3675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1F3675" w:rsidRDefault="001F3675">
      <w:pPr>
        <w:rPr>
          <w:sz w:val="23"/>
          <w:szCs w:val="23"/>
        </w:rPr>
      </w:pPr>
    </w:p>
    <w:p w:rsidR="001F3675" w:rsidRDefault="001F3675">
      <w:pPr>
        <w:rPr>
          <w:sz w:val="23"/>
          <w:szCs w:val="23"/>
        </w:rPr>
      </w:pPr>
    </w:p>
    <w:p w:rsidR="001F3675" w:rsidRDefault="001F3675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1F3675" w:rsidTr="002A423D">
        <w:trPr>
          <w:trHeight w:val="834"/>
        </w:trPr>
        <w:tc>
          <w:tcPr>
            <w:tcW w:w="4361" w:type="dxa"/>
          </w:tcPr>
          <w:p w:rsidR="001F3675" w:rsidRPr="002A423D" w:rsidRDefault="001F3675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1F3675" w:rsidRDefault="001F3675">
            <w:pPr>
              <w:rPr>
                <w:sz w:val="23"/>
                <w:szCs w:val="23"/>
              </w:rPr>
            </w:pPr>
          </w:p>
        </w:tc>
      </w:tr>
      <w:tr w:rsidR="001F3675" w:rsidTr="002A423D">
        <w:trPr>
          <w:trHeight w:val="1249"/>
        </w:trPr>
        <w:tc>
          <w:tcPr>
            <w:tcW w:w="4361" w:type="dxa"/>
          </w:tcPr>
          <w:p w:rsidR="001F3675" w:rsidRPr="002A423D" w:rsidRDefault="001F3675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1F3675" w:rsidRDefault="001F3675">
            <w:pPr>
              <w:rPr>
                <w:sz w:val="23"/>
                <w:szCs w:val="23"/>
              </w:rPr>
            </w:pPr>
          </w:p>
        </w:tc>
      </w:tr>
      <w:tr w:rsidR="001F3675" w:rsidTr="002A423D">
        <w:trPr>
          <w:trHeight w:val="1976"/>
        </w:trPr>
        <w:tc>
          <w:tcPr>
            <w:tcW w:w="4361" w:type="dxa"/>
          </w:tcPr>
          <w:p w:rsidR="001F3675" w:rsidRPr="002A423D" w:rsidRDefault="001F3675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1F3675" w:rsidRDefault="001F3675">
            <w:pPr>
              <w:rPr>
                <w:sz w:val="23"/>
                <w:szCs w:val="23"/>
              </w:rPr>
            </w:pPr>
          </w:p>
        </w:tc>
      </w:tr>
    </w:tbl>
    <w:p w:rsidR="001F3675" w:rsidRDefault="001F3675">
      <w:pPr>
        <w:rPr>
          <w:sz w:val="23"/>
          <w:szCs w:val="23"/>
        </w:rPr>
      </w:pPr>
    </w:p>
    <w:p w:rsidR="001F3675" w:rsidRDefault="001F3675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1F3675" w:rsidRDefault="001F3675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1F3675" w:rsidRDefault="001F3675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1F3675" w:rsidRPr="00E8016B" w:rsidRDefault="001F3675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1F3675" w:rsidRPr="00E8016B" w:rsidRDefault="001F3675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F3675" w:rsidRPr="00E8016B" w:rsidRDefault="001F3675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1F3675" w:rsidRPr="002A423D" w:rsidRDefault="001F3675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1F3675" w:rsidRPr="00E8016B" w:rsidRDefault="001F3675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1F3675" w:rsidRPr="00E8016B" w:rsidRDefault="001F3675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1F3675" w:rsidRPr="00E8016B" w:rsidRDefault="001F3675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5D40B5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1F3675" w:rsidRPr="00E8016B" w:rsidRDefault="001F3675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1F3675" w:rsidRPr="00E8016B" w:rsidRDefault="001F3675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1F3675" w:rsidRPr="00E8016B" w:rsidRDefault="001F3675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1F3675" w:rsidRPr="00E8016B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F3675" w:rsidRPr="00E8016B" w:rsidRDefault="001F3675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E8016B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F3675" w:rsidRPr="00E8016B" w:rsidRDefault="001F3675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F3675" w:rsidRPr="00E8016B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F3675" w:rsidRPr="00E8016B" w:rsidRDefault="001F3675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07170C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AB4FA0">
        <w:rPr>
          <w:rFonts w:ascii="Tahoma" w:hAnsi="Tahoma" w:cs="Tahoma"/>
          <w:noProof/>
          <w:sz w:val="20"/>
          <w:szCs w:val="20"/>
        </w:rPr>
        <w:t>Automatické plniace linky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1F3675" w:rsidRDefault="001F3675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1F3675" w:rsidRPr="00B06841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1F3675" w:rsidRPr="003465CA" w:rsidRDefault="001F3675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F3675" w:rsidRPr="00E8016B" w:rsidRDefault="001F3675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1F3675" w:rsidRPr="00E8016B" w:rsidRDefault="001F3675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1F3675" w:rsidRDefault="001F3675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5471D8" w:rsidRDefault="005471D8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5471D8" w:rsidRPr="00E8016B" w:rsidRDefault="005471D8" w:rsidP="005471D8">
      <w:pPr>
        <w:pStyle w:val="Zkladntext212"/>
        <w:tabs>
          <w:tab w:val="left" w:pos="-5495"/>
        </w:tabs>
        <w:ind w:left="34" w:right="-2268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          </w:t>
      </w:r>
      <w:r w:rsidRPr="00E8016B">
        <w:rPr>
          <w:rFonts w:ascii="Tahoma" w:hAnsi="Tahoma" w:cs="Tahoma"/>
          <w:b w:val="0"/>
          <w:bCs w:val="0"/>
          <w:sz w:val="20"/>
          <w:szCs w:val="20"/>
        </w:rPr>
        <w:t>=.....................................................................................,.......  Euro</w:t>
      </w:r>
    </w:p>
    <w:p w:rsidR="005471D8" w:rsidRDefault="005471D8" w:rsidP="005471D8">
      <w:pPr>
        <w:pStyle w:val="Zkladntext212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</w:t>
      </w:r>
      <w:r w:rsidRPr="00E8016B">
        <w:rPr>
          <w:rFonts w:ascii="Tahoma" w:hAnsi="Tahoma" w:cs="Tahoma"/>
          <w:b w:val="0"/>
          <w:bCs w:val="0"/>
          <w:color w:val="FF0000"/>
          <w:sz w:val="20"/>
          <w:szCs w:val="20"/>
        </w:rPr>
        <w:t>Uchádzač uvedie cenu na dve desatinné miesta v Euro bez DPH</w:t>
      </w:r>
    </w:p>
    <w:p w:rsidR="005471D8" w:rsidRDefault="005471D8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5471D8" w:rsidRDefault="005471D8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1F3675" w:rsidRDefault="001F3675" w:rsidP="00CD27AF">
      <w:pPr>
        <w:jc w:val="both"/>
        <w:rPr>
          <w:rFonts w:ascii="Tahoma" w:hAnsi="Tahoma" w:cs="Tahoma"/>
          <w:sz w:val="20"/>
          <w:szCs w:val="20"/>
        </w:rPr>
      </w:pPr>
    </w:p>
    <w:p w:rsidR="005471D8" w:rsidRPr="00E8016B" w:rsidRDefault="005471D8" w:rsidP="00CD27AF">
      <w:pPr>
        <w:jc w:val="both"/>
        <w:rPr>
          <w:rFonts w:ascii="Tahoma" w:hAnsi="Tahoma" w:cs="Tahoma"/>
          <w:sz w:val="20"/>
          <w:szCs w:val="20"/>
        </w:rPr>
      </w:pPr>
    </w:p>
    <w:p w:rsidR="001F3675" w:rsidRPr="00E8016B" w:rsidRDefault="001F3675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1F3675" w:rsidRPr="00E8016B" w:rsidRDefault="001F3675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E8016B" w:rsidRDefault="001F3675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F3675" w:rsidRDefault="001F3675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1F3675" w:rsidRDefault="001F3675" w:rsidP="00CD27AF">
      <w:pPr>
        <w:rPr>
          <w:rFonts w:ascii="Tahoma" w:hAnsi="Tahoma" w:cs="Tahoma"/>
          <w:sz w:val="20"/>
          <w:szCs w:val="20"/>
        </w:rPr>
      </w:pPr>
    </w:p>
    <w:p w:rsidR="001F3675" w:rsidRDefault="001F3675" w:rsidP="00CD27AF">
      <w:pPr>
        <w:rPr>
          <w:rFonts w:ascii="Tahoma" w:hAnsi="Tahoma" w:cs="Tahoma"/>
          <w:sz w:val="20"/>
          <w:szCs w:val="20"/>
        </w:rPr>
      </w:pPr>
    </w:p>
    <w:p w:rsidR="001F3675" w:rsidRDefault="001F3675" w:rsidP="00CD27AF">
      <w:pPr>
        <w:rPr>
          <w:rFonts w:ascii="Tahoma" w:hAnsi="Tahoma" w:cs="Tahoma"/>
          <w:sz w:val="20"/>
          <w:szCs w:val="20"/>
        </w:rPr>
      </w:pPr>
    </w:p>
    <w:p w:rsidR="001F3675" w:rsidRDefault="001F36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F3675" w:rsidRPr="003465CA" w:rsidRDefault="001F3675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1F3675" w:rsidRPr="003465CA" w:rsidRDefault="001F3675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1F3675" w:rsidRPr="003465CA" w:rsidRDefault="001F3675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1F3675" w:rsidRPr="003465CA" w:rsidRDefault="001F3675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F3675" w:rsidRPr="003465CA" w:rsidRDefault="001F3675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F3675" w:rsidRPr="003465CA" w:rsidRDefault="001F3675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F3675" w:rsidRPr="003465CA" w:rsidRDefault="001F3675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07170C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AB4FA0">
        <w:rPr>
          <w:rFonts w:ascii="Tahoma" w:hAnsi="Tahoma" w:cs="Tahoma"/>
          <w:noProof/>
          <w:sz w:val="20"/>
          <w:szCs w:val="20"/>
        </w:rPr>
        <w:t>Automatické plniace linky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1F3675" w:rsidRDefault="001F3675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="005B6AD2">
        <w:rPr>
          <w:rFonts w:ascii="Tahoma" w:hAnsi="Tahoma" w:cs="Tahoma"/>
          <w:noProof/>
          <w:sz w:val="20"/>
          <w:szCs w:val="20"/>
        </w:rPr>
        <w:t>Automatická plniaca linka na skrutkovací uzáver</w:t>
      </w:r>
    </w:p>
    <w:p w:rsidR="001F3675" w:rsidRPr="003465CA" w:rsidRDefault="001F3675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1B0DBB" w:rsidRDefault="001B0DBB" w:rsidP="00791430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10890" w:type="dxa"/>
        <w:jc w:val="center"/>
        <w:tblLayout w:type="fixed"/>
        <w:tblLook w:val="0600"/>
      </w:tblPr>
      <w:tblGrid>
        <w:gridCol w:w="649"/>
        <w:gridCol w:w="6002"/>
        <w:gridCol w:w="2126"/>
        <w:gridCol w:w="850"/>
        <w:gridCol w:w="1263"/>
      </w:tblGrid>
      <w:tr w:rsidR="001B0DBB" w:rsidRPr="00622675" w:rsidTr="00492930">
        <w:trPr>
          <w:trHeight w:val="182"/>
          <w:jc w:val="center"/>
        </w:trPr>
        <w:tc>
          <w:tcPr>
            <w:tcW w:w="6651" w:type="dxa"/>
            <w:gridSpan w:val="2"/>
            <w:noWrap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2126" w:type="dxa"/>
            <w:noWrap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1B0DBB" w:rsidRPr="00622675" w:rsidRDefault="001B0DBB" w:rsidP="00492930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263" w:type="dxa"/>
          </w:tcPr>
          <w:p w:rsidR="001B0DBB" w:rsidRPr="00622675" w:rsidRDefault="001B0DBB" w:rsidP="00492930">
            <w:pPr>
              <w:ind w:left="-22" w:right="-5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 xml:space="preserve">Hodnota ponúkaná </w:t>
            </w:r>
            <w:r w:rsidR="00492930">
              <w:rPr>
                <w:rFonts w:ascii="Tahoma" w:hAnsi="Tahoma" w:cs="Tahoma"/>
                <w:bCs/>
                <w:sz w:val="20"/>
                <w:szCs w:val="20"/>
              </w:rPr>
              <w:t>uchádzačom</w:t>
            </w: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Linka vykonáva pracovné operácie plne automaticky bez potreby zásahu obsluhy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Obsluha vykonáva len kontrolnú činnosť a dopĺňa spotrebný materiál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Výstup linky vyústi tak, aby bolo možné napojenie k existujúcej etiketovačke a baličke a paletizovať skupinové balenie na existujúcom robotizovanom</w:t>
            </w:r>
            <w:r w:rsidR="005D40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2675">
              <w:rPr>
                <w:rFonts w:ascii="Tahoma" w:hAnsi="Tahoma" w:cs="Tahoma"/>
                <w:sz w:val="20"/>
                <w:szCs w:val="20"/>
              </w:rPr>
              <w:t>paletizačnom uzle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Materiál obalu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PET alebo HDPE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Pôdorys obalu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492930">
            <w:pPr>
              <w:ind w:left="-180"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Kruhový, obdĺžnikový, oválny,alebo iný tvarový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Horné hrdlo obalu ukončené závitom s priemerom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Objem obalu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ind w:right="-13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v intervale              (od 1000 do 5000) 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Minimálnyvýkon pre obal s objemom 1 000 ml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Minimálny výkon pre obal s objemom 5 000 ml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Prepojovacie dopravníky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Modifikácia existujúcich dopravných trás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Výmenné časti a formátové diely pre všetky požadované typy obalov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Bezpečnostné kryty podľa CE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Prevedenie zariadenia pre ATEX prostredie, Zóna 2, Kategória 3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PLC – SIEMENS S7-1200 alebo ekvivalent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Ovládanie pomocou dotykovej obrazovky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Pneumatické komponenty – FESTO alebo ekvivalent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Automatické zastavenie linky pri preplnení výstupu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431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Signalizácia a prepojovací signál do linky v prípade zastavenia, alebo chybového stavu ktoréhokoľvek technologického uzla v linke 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240"/>
          <w:jc w:val="center"/>
        </w:trPr>
        <w:tc>
          <w:tcPr>
            <w:tcW w:w="6651" w:type="dxa"/>
            <w:gridSpan w:val="2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2126" w:type="dxa"/>
            <w:vAlign w:val="bottom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min. AISI 304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 w:val="restart"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Operácia plnenia</w:t>
            </w: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Plnená dávka plnenia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ind w:left="-109"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v intervale              (od 1000 do 5000) 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Presnosť plnenia </w:t>
            </w:r>
          </w:p>
        </w:tc>
        <w:tc>
          <w:tcPr>
            <w:tcW w:w="2126" w:type="dxa"/>
            <w:vAlign w:val="bottom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Max. +/- 1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Jednoradové prevedenie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Plnenia zubovými čerpadlami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Počet plniacich trysiek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ks 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Uzatváranie trysiek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Zdvih trysiek pomocou motora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Vstavaná nádrž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Objem nádrže</w:t>
            </w:r>
          </w:p>
        </w:tc>
        <w:tc>
          <w:tcPr>
            <w:tcW w:w="2126" w:type="dxa"/>
            <w:vAlign w:val="bottom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Min. 150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2126" w:type="dxa"/>
            <w:vAlign w:val="bottom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Min. AISI 304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Nastaviteľná zmena rýchlosti plnenia a rýchlosti stroja pomocou dotykovej obrazovky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Nastavenie plneného objemu pomocou dotykovej obrazovky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počítanie kusov na vstupe a výstupe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nedostatočného počtu obalov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spadnutej fľaše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 w:val="restart"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Operácia uzatvárania</w:t>
            </w: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Automatická aplikácia skrutkovacích uzáverov o priemere 32 mm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06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Navádzacia dráha uzáverov so senzorom pre kontrolu zásoby uzáverov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,,Pick&amp;Place” systém odoberania uzáverov z navádzacej dráhy a uchytenia do uzatváracej hlavy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Automatický vynášací dopravník uzáverov s násypkou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08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Minimálny objem</w:t>
            </w: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automatického  vynášacieho dopravníka uzáverov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ind w:right="-1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Min 0,5m3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Uzatváracia hlava s nastaviteľným uzatváracím momentom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Manuálne nastavenie výšky uzatváracej hlavy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regulácia rýchlosti zariadenia z ovládacieho panelu 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Ovládanie a nastavenie parametrov jednotlivých formátov pomocou dotykovej obrazovky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Fotobunka na vstupe zariadenia  /v prípade, že neprichádzajú fľaše, zariadenie nepracuje/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622675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2" w:type="dxa"/>
            <w:noWrap/>
            <w:vAlign w:val="center"/>
            <w:hideMark/>
          </w:tcPr>
          <w:p w:rsidR="001B0DBB" w:rsidRPr="00622675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Fotobunka na výstupe zariadenia / v prípade zaplnenia výstupu sa zariadenie zastaví/</w:t>
            </w:r>
          </w:p>
        </w:tc>
        <w:tc>
          <w:tcPr>
            <w:tcW w:w="2126" w:type="dxa"/>
            <w:vAlign w:val="center"/>
            <w:hideMark/>
          </w:tcPr>
          <w:p w:rsidR="001B0DBB" w:rsidRPr="00622675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622675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622675" w:rsidTr="00492930">
        <w:trPr>
          <w:trHeight w:val="319"/>
          <w:jc w:val="center"/>
        </w:trPr>
        <w:tc>
          <w:tcPr>
            <w:tcW w:w="9627" w:type="dxa"/>
            <w:gridSpan w:val="4"/>
            <w:noWrap/>
            <w:vAlign w:val="center"/>
            <w:hideMark/>
          </w:tcPr>
          <w:p w:rsidR="001B0DBB" w:rsidRPr="00622675" w:rsidRDefault="001B0DBB" w:rsidP="00492930">
            <w:pPr>
              <w:pStyle w:val="Odsekzoznamu"/>
              <w:ind w:left="94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</w:t>
            </w:r>
            <w:r w:rsidR="00492930">
              <w:rPr>
                <w:rFonts w:ascii="Tahoma" w:hAnsi="Tahoma" w:cs="Tahoma"/>
                <w:color w:val="000000"/>
                <w:sz w:val="20"/>
                <w:szCs w:val="20"/>
              </w:rPr>
              <w:t>celú časť predmetu zákazky</w:t>
            </w: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 v Euro bez DPH</w:t>
            </w:r>
          </w:p>
        </w:tc>
        <w:tc>
          <w:tcPr>
            <w:tcW w:w="1263" w:type="dxa"/>
          </w:tcPr>
          <w:p w:rsidR="001B0DBB" w:rsidRPr="00622675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0DBB" w:rsidRPr="00622675" w:rsidRDefault="001B0DBB" w:rsidP="001B0DBB">
      <w:pPr>
        <w:rPr>
          <w:rFonts w:ascii="Tahoma" w:hAnsi="Tahoma" w:cs="Tahoma"/>
          <w:sz w:val="20"/>
          <w:szCs w:val="20"/>
        </w:rPr>
      </w:pPr>
    </w:p>
    <w:p w:rsidR="001B0DBB" w:rsidRDefault="001B0DBB" w:rsidP="00791430">
      <w:pPr>
        <w:pStyle w:val="Zkladntext212"/>
        <w:rPr>
          <w:rFonts w:ascii="Tahoma" w:hAnsi="Tahoma" w:cs="Tahoma"/>
          <w:sz w:val="20"/>
          <w:szCs w:val="20"/>
        </w:rPr>
      </w:pPr>
    </w:p>
    <w:p w:rsidR="001F3675" w:rsidRDefault="001F3675" w:rsidP="00791430">
      <w:pPr>
        <w:jc w:val="both"/>
        <w:rPr>
          <w:rFonts w:ascii="Tahoma" w:hAnsi="Tahoma" w:cs="Tahoma"/>
          <w:b/>
        </w:rPr>
      </w:pPr>
    </w:p>
    <w:p w:rsidR="001F3675" w:rsidRDefault="001F3675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1F3675" w:rsidRDefault="001F3675" w:rsidP="00791430">
      <w:pPr>
        <w:jc w:val="both"/>
        <w:rPr>
          <w:rFonts w:ascii="Tahoma" w:hAnsi="Tahoma" w:cs="Tahoma"/>
          <w:b/>
        </w:rPr>
      </w:pPr>
    </w:p>
    <w:p w:rsidR="001F3675" w:rsidRDefault="001F3675" w:rsidP="00791430">
      <w:pPr>
        <w:jc w:val="both"/>
        <w:rPr>
          <w:rFonts w:ascii="Tahoma" w:hAnsi="Tahoma" w:cs="Tahoma"/>
          <w:b/>
        </w:rPr>
      </w:pPr>
    </w:p>
    <w:p w:rsidR="001F3675" w:rsidRDefault="001F3675" w:rsidP="00791430">
      <w:pPr>
        <w:jc w:val="both"/>
        <w:rPr>
          <w:rFonts w:ascii="Tahoma" w:hAnsi="Tahoma" w:cs="Tahoma"/>
          <w:b/>
        </w:rPr>
      </w:pPr>
    </w:p>
    <w:p w:rsidR="001F3675" w:rsidRPr="003465CA" w:rsidRDefault="001F3675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F3675" w:rsidRPr="003465CA" w:rsidRDefault="001F3675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1F3675" w:rsidRPr="003465CA" w:rsidRDefault="001F3675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1F3675" w:rsidRDefault="001F36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F3675" w:rsidRPr="003465CA" w:rsidRDefault="001F3675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1F3675" w:rsidRPr="003465CA" w:rsidRDefault="001F3675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1F3675" w:rsidRPr="003465CA" w:rsidRDefault="001F3675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1F3675" w:rsidRPr="003465CA" w:rsidRDefault="001F3675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1F3675" w:rsidRPr="003465CA" w:rsidRDefault="001F3675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1F3675" w:rsidRPr="003465CA" w:rsidRDefault="001F3675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1F3675" w:rsidRPr="003465CA" w:rsidRDefault="001F3675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07170C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AB4FA0">
        <w:rPr>
          <w:rFonts w:ascii="Tahoma" w:hAnsi="Tahoma" w:cs="Tahoma"/>
          <w:noProof/>
          <w:sz w:val="20"/>
          <w:szCs w:val="20"/>
        </w:rPr>
        <w:t>Automatické plniace linky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1F3675" w:rsidRDefault="001F3675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Pr="00D74C2A">
        <w:rPr>
          <w:rFonts w:ascii="Tahoma" w:hAnsi="Tahoma" w:cs="Tahoma"/>
          <w:noProof/>
          <w:sz w:val="20"/>
          <w:szCs w:val="20"/>
        </w:rPr>
        <w:t>Automatická plniaca linka na rozprašovací mechanizmus uzavretia</w:t>
      </w:r>
    </w:p>
    <w:p w:rsidR="001F3675" w:rsidRPr="003465CA" w:rsidRDefault="001F3675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1F3675" w:rsidRPr="003465CA" w:rsidRDefault="001F3675" w:rsidP="00556DB0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1B0DBB" w:rsidRDefault="001B0DBB" w:rsidP="0007170C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11198" w:type="dxa"/>
        <w:jc w:val="center"/>
        <w:tblLayout w:type="fixed"/>
        <w:tblLook w:val="04A0"/>
      </w:tblPr>
      <w:tblGrid>
        <w:gridCol w:w="649"/>
        <w:gridCol w:w="6368"/>
        <w:gridCol w:w="2056"/>
        <w:gridCol w:w="850"/>
        <w:gridCol w:w="1267"/>
        <w:gridCol w:w="8"/>
      </w:tblGrid>
      <w:tr w:rsidR="001B0DBB" w:rsidRPr="002C53D7" w:rsidTr="00492930">
        <w:trPr>
          <w:gridAfter w:val="1"/>
          <w:wAfter w:w="8" w:type="dxa"/>
          <w:trHeight w:val="602"/>
          <w:jc w:val="center"/>
        </w:trPr>
        <w:tc>
          <w:tcPr>
            <w:tcW w:w="7017" w:type="dxa"/>
            <w:gridSpan w:val="2"/>
            <w:noWrap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DBB" w:rsidRPr="00492930" w:rsidRDefault="001B0DBB" w:rsidP="005B6A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2056" w:type="dxa"/>
            <w:noWrap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1B0DBB" w:rsidRPr="00492930" w:rsidRDefault="001B0DBB" w:rsidP="005B6AD2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267" w:type="dxa"/>
          </w:tcPr>
          <w:p w:rsidR="001B0DBB" w:rsidRPr="00492930" w:rsidRDefault="001B0DBB" w:rsidP="00492930">
            <w:pPr>
              <w:ind w:left="-108" w:right="-4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 xml:space="preserve">Hodnota ponúkaná </w:t>
            </w:r>
            <w:r w:rsidR="00492930" w:rsidRPr="00492930">
              <w:rPr>
                <w:rFonts w:ascii="Tahoma" w:hAnsi="Tahoma" w:cs="Tahoma"/>
                <w:bCs/>
                <w:sz w:val="20"/>
                <w:szCs w:val="20"/>
              </w:rPr>
              <w:t>uchádzačom</w:t>
            </w: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Linka vykonáva pracovné operácie plne automaticky bez potreby zásahu obsluhy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Obsluha vykonáva len kontrolnú činnosť a dopĺňa spotrebný materiál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Výstup linky vyústi tak, aby bolo možné napojenie k existujúcej etiketovačke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Materiál obalu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PET alebo HDPE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Pôdorys obalu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Kruhový,oválny, </w:t>
            </w:r>
            <w:r w:rsidRPr="00492930">
              <w:rPr>
                <w:rFonts w:ascii="Tahoma" w:hAnsi="Tahoma" w:cs="Tahoma"/>
                <w:sz w:val="20"/>
                <w:szCs w:val="20"/>
              </w:rPr>
              <w:t>alebo iný tvarový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Objem obalu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v intervale              (od 100 do 1000) 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Prepojovacie dopravníky                                                                                                                                                          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Modifikácia existujúcich dopravných trás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Výmenné časti a formátové diely pre všetky požadované materiály a typy obalov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Bezpečnostné kryty podľa CE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Prevedenie zariadenia pre ATEX prostredie, Zóna 2, Kategória 3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PLC – SIEMENS S7-1200 alebo ekvivalent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Pneumatické komponenty – FESTO alebo ekvivalent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7017" w:type="dxa"/>
            <w:gridSpan w:val="2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Automatické zastavenie linky pri preplnení výstupu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 w:val="restart"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>Operácia plnenia</w:t>
            </w: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Plnená dávka plnenia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v intervale              (od 100 do 1000) 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Presnosť plnenia </w:t>
            </w:r>
          </w:p>
        </w:tc>
        <w:tc>
          <w:tcPr>
            <w:tcW w:w="2056" w:type="dxa"/>
            <w:vAlign w:val="bottom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Max. +/- 1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133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Jednoradové prevedenie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Princíp plnenia zubovými čerpadlami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Počet plniacich trysiek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ks 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Uzatváranie trysiek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Zdvih trysiek pomocou motora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Vstavaná nádrž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Minimálny objem nádrže</w:t>
            </w:r>
          </w:p>
        </w:tc>
        <w:tc>
          <w:tcPr>
            <w:tcW w:w="2056" w:type="dxa"/>
            <w:vAlign w:val="bottom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Min. 150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Okamžitý výkon pre obaly s objemom 1 000 ml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Min. 2000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Okamžitý výkon pre obaly s objemom 500 ml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Min. 1000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2056" w:type="dxa"/>
            <w:vAlign w:val="bottom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min. AISI 304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Dotyková obrazovka na nastavenie funkcionality operácie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Nastaviteľná zmena rýchlosti plnenia a rýchlosti stroja pomocou dotykovej obrazovky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nastavenie plneného objemu pomocou dotykovej obrazovky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Automatické počítanie kusov na vstupe a výstupe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nedostatočného počtu obalov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spadnutej fľaše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 w:val="restart"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92930">
              <w:rPr>
                <w:rFonts w:ascii="Tahoma" w:hAnsi="Tahoma" w:cs="Tahoma"/>
                <w:bCs/>
                <w:sz w:val="20"/>
                <w:szCs w:val="20"/>
              </w:rPr>
              <w:t>Operácia uzatvárania</w:t>
            </w: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uzla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Min. 1000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 xml:space="preserve">Dĺžka navádzacej dráhy rozprašovačov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1200 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Spôsob zakladania do navádzacej dráhy rozprašovačov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Min. ručné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Senzor pre kontrolu zásoby rozprašovačov v navádzacej dráhe so signalizáciou chýbajúcich rozprašovačov  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494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Automatický systém odoberania rozprašovačov z navádzacej dráhy a ich umiestnenia na fľašu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automatický systém narovnávania a zasúvania nasávacej slamky rozprašovača do fľaše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Uzatváracia hlava s nastaviteľným uzatváracím momentom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automatické  nastavenie výšky na rôzne typy fliaš z ovládacieho panelu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regulácia rýchlosti zariadenia z ovládacieho panelu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Nastavenie parametrov zariadenia pomocou dotykovej obrazovky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Fotobunka na vstupe zariadenia  /v prípade, že neprichádzajú fľaše, zariadenie nepracuje/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Fotobunka na výstupe zariadenia / v prípade zaplnenia výstupu sa zariadenie zastaví/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trHeight w:val="319"/>
          <w:jc w:val="center"/>
        </w:trPr>
        <w:tc>
          <w:tcPr>
            <w:tcW w:w="649" w:type="dxa"/>
            <w:vMerge/>
            <w:noWrap/>
            <w:textDirection w:val="btLr"/>
            <w:vAlign w:val="center"/>
            <w:hideMark/>
          </w:tcPr>
          <w:p w:rsidR="001B0DBB" w:rsidRPr="00492930" w:rsidRDefault="001B0DBB" w:rsidP="005B6AD2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68" w:type="dxa"/>
            <w:noWrap/>
            <w:vAlign w:val="center"/>
            <w:hideMark/>
          </w:tcPr>
          <w:p w:rsidR="001B0DBB" w:rsidRPr="00492930" w:rsidRDefault="001B0DBB" w:rsidP="005B6AD2">
            <w:pPr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Možnosť pripojenia automatického orientátora rozprašovačov v budúcnosti</w:t>
            </w:r>
          </w:p>
        </w:tc>
        <w:tc>
          <w:tcPr>
            <w:tcW w:w="2056" w:type="dxa"/>
            <w:vAlign w:val="center"/>
            <w:hideMark/>
          </w:tcPr>
          <w:p w:rsidR="001B0DBB" w:rsidRPr="00492930" w:rsidRDefault="001B0DBB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1B0DBB" w:rsidRPr="00492930" w:rsidRDefault="001B0DBB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DBB" w:rsidRPr="002C53D7" w:rsidTr="00492930">
        <w:trPr>
          <w:gridAfter w:val="1"/>
          <w:wAfter w:w="8" w:type="dxa"/>
          <w:trHeight w:val="319"/>
          <w:jc w:val="center"/>
        </w:trPr>
        <w:tc>
          <w:tcPr>
            <w:tcW w:w="9923" w:type="dxa"/>
            <w:gridSpan w:val="4"/>
            <w:noWrap/>
            <w:vAlign w:val="center"/>
            <w:hideMark/>
          </w:tcPr>
          <w:p w:rsidR="001B0DBB" w:rsidRPr="00492930" w:rsidRDefault="001B0DBB" w:rsidP="00492930">
            <w:pPr>
              <w:pStyle w:val="Odsekzoznamu"/>
              <w:ind w:left="-11"/>
              <w:rPr>
                <w:rFonts w:ascii="Tahoma" w:hAnsi="Tahoma" w:cs="Tahoma"/>
                <w:sz w:val="20"/>
                <w:szCs w:val="20"/>
              </w:rPr>
            </w:pP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</w:t>
            </w:r>
            <w:r w:rsidR="0049293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celú časť predmetu zákazky </w:t>
            </w:r>
            <w:r w:rsidRPr="00492930">
              <w:rPr>
                <w:rFonts w:ascii="Tahoma" w:hAnsi="Tahoma" w:cs="Tahoma"/>
                <w:color w:val="000000"/>
                <w:sz w:val="20"/>
                <w:szCs w:val="20"/>
              </w:rPr>
              <w:t>-  v Euro bez DPH</w:t>
            </w:r>
          </w:p>
        </w:tc>
        <w:tc>
          <w:tcPr>
            <w:tcW w:w="1267" w:type="dxa"/>
          </w:tcPr>
          <w:p w:rsidR="001B0DBB" w:rsidRPr="00492930" w:rsidRDefault="001B0DBB" w:rsidP="005B6AD2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0DBB" w:rsidRPr="002C53D7" w:rsidRDefault="001B0DBB" w:rsidP="001B0DBB">
      <w:pPr>
        <w:rPr>
          <w:rFonts w:cstheme="minorHAnsi"/>
          <w:sz w:val="20"/>
          <w:szCs w:val="20"/>
        </w:rPr>
      </w:pPr>
    </w:p>
    <w:p w:rsidR="001B0DBB" w:rsidRDefault="001B0DBB" w:rsidP="0007170C">
      <w:pPr>
        <w:pStyle w:val="Zkladntext212"/>
        <w:rPr>
          <w:rFonts w:ascii="Tahoma" w:hAnsi="Tahoma" w:cs="Tahoma"/>
          <w:sz w:val="20"/>
          <w:szCs w:val="20"/>
        </w:rPr>
      </w:pPr>
    </w:p>
    <w:p w:rsidR="001F3675" w:rsidRDefault="001F3675" w:rsidP="0007170C">
      <w:pPr>
        <w:jc w:val="both"/>
        <w:rPr>
          <w:rFonts w:ascii="Tahoma" w:hAnsi="Tahoma" w:cs="Tahoma"/>
          <w:b/>
        </w:rPr>
      </w:pPr>
    </w:p>
    <w:p w:rsidR="001F3675" w:rsidRDefault="001F3675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1F3675" w:rsidRDefault="001F3675" w:rsidP="0007170C">
      <w:pPr>
        <w:jc w:val="both"/>
        <w:rPr>
          <w:rFonts w:ascii="Tahoma" w:hAnsi="Tahoma" w:cs="Tahoma"/>
          <w:b/>
        </w:rPr>
      </w:pPr>
    </w:p>
    <w:p w:rsidR="001F3675" w:rsidRDefault="001F3675" w:rsidP="0007170C">
      <w:pPr>
        <w:jc w:val="both"/>
        <w:rPr>
          <w:rFonts w:ascii="Tahoma" w:hAnsi="Tahoma" w:cs="Tahoma"/>
          <w:b/>
        </w:rPr>
      </w:pPr>
    </w:p>
    <w:p w:rsidR="001F3675" w:rsidRDefault="001F3675" w:rsidP="0007170C">
      <w:pPr>
        <w:jc w:val="both"/>
        <w:rPr>
          <w:rFonts w:ascii="Tahoma" w:hAnsi="Tahoma" w:cs="Tahoma"/>
          <w:b/>
        </w:rPr>
      </w:pPr>
    </w:p>
    <w:p w:rsidR="001F3675" w:rsidRPr="003465CA" w:rsidRDefault="001F3675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1F3675" w:rsidRPr="003465CA" w:rsidRDefault="001F3675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1F3675" w:rsidRPr="003465CA" w:rsidRDefault="001F3675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1F3675" w:rsidRPr="003465CA" w:rsidSect="005B6AD2">
      <w:footerReference w:type="default" r:id="rId8"/>
      <w:pgSz w:w="11906" w:h="16838"/>
      <w:pgMar w:top="873" w:right="991" w:bottom="851" w:left="1134" w:header="709" w:footer="192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D8" w:rsidRDefault="00610BD8" w:rsidP="00465A3B">
      <w:r>
        <w:separator/>
      </w:r>
    </w:p>
  </w:endnote>
  <w:endnote w:type="continuationSeparator" w:id="1">
    <w:p w:rsidR="00610BD8" w:rsidRDefault="00610BD8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4F" w:rsidRDefault="005D004F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4E16E6" w:rsidRPr="004E16E6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4E16E6">
      <w:fldChar w:fldCharType="separate"/>
    </w:r>
    <w:r w:rsidR="005D40B5">
      <w:rPr>
        <w:noProof/>
      </w:rPr>
      <w:t>6</w:t>
    </w:r>
    <w:r w:rsidR="004E16E6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4E16E6" w:rsidRPr="004E16E6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4E16E6">
      <w:fldChar w:fldCharType="separate"/>
    </w:r>
    <w:r w:rsidR="005D40B5">
      <w:rPr>
        <w:noProof/>
      </w:rPr>
      <w:t>6</w:t>
    </w:r>
    <w:r w:rsidR="004E16E6">
      <w:fldChar w:fldCharType="end"/>
    </w:r>
  </w:p>
  <w:p w:rsidR="005D004F" w:rsidRDefault="005D004F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D8" w:rsidRDefault="00610BD8" w:rsidP="00465A3B">
      <w:r>
        <w:separator/>
      </w:r>
    </w:p>
  </w:footnote>
  <w:footnote w:type="continuationSeparator" w:id="1">
    <w:p w:rsidR="00610BD8" w:rsidRDefault="00610BD8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C4BACB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15EC8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7CB0DAD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D865CE6"/>
    <w:multiLevelType w:val="hybridMultilevel"/>
    <w:tmpl w:val="676CF0FE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D5B2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6C17B11"/>
    <w:multiLevelType w:val="hybridMultilevel"/>
    <w:tmpl w:val="5F14F728"/>
    <w:lvl w:ilvl="0" w:tplc="041B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E72D8C"/>
    <w:multiLevelType w:val="hybridMultilevel"/>
    <w:tmpl w:val="34B684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BB6A90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F42C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A78E4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>
    <w:nsid w:val="41D538AB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BBA61B8"/>
    <w:multiLevelType w:val="hybridMultilevel"/>
    <w:tmpl w:val="72384AEC"/>
    <w:lvl w:ilvl="0" w:tplc="61020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BB7D85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51972A2"/>
    <w:multiLevelType w:val="multilevel"/>
    <w:tmpl w:val="C4BACB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42231C6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81C198F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2"/>
  </w:num>
  <w:num w:numId="3">
    <w:abstractNumId w:val="11"/>
  </w:num>
  <w:num w:numId="4">
    <w:abstractNumId w:val="30"/>
  </w:num>
  <w:num w:numId="5">
    <w:abstractNumId w:val="32"/>
  </w:num>
  <w:num w:numId="6">
    <w:abstractNumId w:val="16"/>
  </w:num>
  <w:num w:numId="7">
    <w:abstractNumId w:val="20"/>
  </w:num>
  <w:num w:numId="8">
    <w:abstractNumId w:val="29"/>
  </w:num>
  <w:num w:numId="9">
    <w:abstractNumId w:val="23"/>
  </w:num>
  <w:num w:numId="10">
    <w:abstractNumId w:val="47"/>
  </w:num>
  <w:num w:numId="11">
    <w:abstractNumId w:val="14"/>
  </w:num>
  <w:num w:numId="12">
    <w:abstractNumId w:val="35"/>
  </w:num>
  <w:num w:numId="13">
    <w:abstractNumId w:val="17"/>
  </w:num>
  <w:num w:numId="14">
    <w:abstractNumId w:val="45"/>
  </w:num>
  <w:num w:numId="15">
    <w:abstractNumId w:val="49"/>
  </w:num>
  <w:num w:numId="16">
    <w:abstractNumId w:val="18"/>
  </w:num>
  <w:num w:numId="17">
    <w:abstractNumId w:val="34"/>
  </w:num>
  <w:num w:numId="18">
    <w:abstractNumId w:val="39"/>
  </w:num>
  <w:num w:numId="19">
    <w:abstractNumId w:val="22"/>
  </w:num>
  <w:num w:numId="20">
    <w:abstractNumId w:val="50"/>
  </w:num>
  <w:num w:numId="21">
    <w:abstractNumId w:val="25"/>
  </w:num>
  <w:num w:numId="22">
    <w:abstractNumId w:val="48"/>
  </w:num>
  <w:num w:numId="23">
    <w:abstractNumId w:val="43"/>
  </w:num>
  <w:num w:numId="24">
    <w:abstractNumId w:val="52"/>
  </w:num>
  <w:num w:numId="25">
    <w:abstractNumId w:val="40"/>
  </w:num>
  <w:num w:numId="26">
    <w:abstractNumId w:val="21"/>
  </w:num>
  <w:num w:numId="27">
    <w:abstractNumId w:val="46"/>
  </w:num>
  <w:num w:numId="28">
    <w:abstractNumId w:val="37"/>
  </w:num>
  <w:num w:numId="29">
    <w:abstractNumId w:val="24"/>
  </w:num>
  <w:num w:numId="30">
    <w:abstractNumId w:val="41"/>
  </w:num>
  <w:num w:numId="31">
    <w:abstractNumId w:val="15"/>
  </w:num>
  <w:num w:numId="32">
    <w:abstractNumId w:val="51"/>
  </w:num>
  <w:num w:numId="33">
    <w:abstractNumId w:val="27"/>
  </w:num>
  <w:num w:numId="34">
    <w:abstractNumId w:val="44"/>
  </w:num>
  <w:num w:numId="35">
    <w:abstractNumId w:val="33"/>
  </w:num>
  <w:num w:numId="36">
    <w:abstractNumId w:val="28"/>
  </w:num>
  <w:num w:numId="37">
    <w:abstractNumId w:val="31"/>
  </w:num>
  <w:num w:numId="38">
    <w:abstractNumId w:val="19"/>
  </w:num>
  <w:num w:numId="39">
    <w:abstractNumId w:val="38"/>
  </w:num>
  <w:num w:numId="40">
    <w:abstractNumId w:val="26"/>
  </w:num>
  <w:num w:numId="41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12D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F21"/>
    <w:rsid w:val="000A31FD"/>
    <w:rsid w:val="000A34D6"/>
    <w:rsid w:val="000A61D2"/>
    <w:rsid w:val="000C0FF5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57CC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A7504"/>
    <w:rsid w:val="001B0DBB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675"/>
    <w:rsid w:val="001F38F4"/>
    <w:rsid w:val="00203C58"/>
    <w:rsid w:val="002051F5"/>
    <w:rsid w:val="0020753A"/>
    <w:rsid w:val="00210C10"/>
    <w:rsid w:val="00211FE5"/>
    <w:rsid w:val="00213E1F"/>
    <w:rsid w:val="002236A5"/>
    <w:rsid w:val="00224534"/>
    <w:rsid w:val="0023033F"/>
    <w:rsid w:val="002347A7"/>
    <w:rsid w:val="002349DA"/>
    <w:rsid w:val="00245C4E"/>
    <w:rsid w:val="00247AE8"/>
    <w:rsid w:val="00262FEE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D57AF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35A48"/>
    <w:rsid w:val="003409DE"/>
    <w:rsid w:val="00350E3F"/>
    <w:rsid w:val="00351A9D"/>
    <w:rsid w:val="0035224B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369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E6565"/>
    <w:rsid w:val="003F27D6"/>
    <w:rsid w:val="003F32C4"/>
    <w:rsid w:val="003F33CB"/>
    <w:rsid w:val="003F6D32"/>
    <w:rsid w:val="003F6F6D"/>
    <w:rsid w:val="004073C2"/>
    <w:rsid w:val="00417D2C"/>
    <w:rsid w:val="00423B64"/>
    <w:rsid w:val="00423F87"/>
    <w:rsid w:val="0042412F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92930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E16E6"/>
    <w:rsid w:val="004F0877"/>
    <w:rsid w:val="004F147A"/>
    <w:rsid w:val="00507883"/>
    <w:rsid w:val="00510981"/>
    <w:rsid w:val="00516648"/>
    <w:rsid w:val="005229C5"/>
    <w:rsid w:val="00522FBD"/>
    <w:rsid w:val="005253ED"/>
    <w:rsid w:val="00530E45"/>
    <w:rsid w:val="005446FF"/>
    <w:rsid w:val="00545574"/>
    <w:rsid w:val="005471D8"/>
    <w:rsid w:val="005538A8"/>
    <w:rsid w:val="00556DB0"/>
    <w:rsid w:val="00560978"/>
    <w:rsid w:val="00571B5C"/>
    <w:rsid w:val="005739A2"/>
    <w:rsid w:val="00586C86"/>
    <w:rsid w:val="00593FA2"/>
    <w:rsid w:val="005A1720"/>
    <w:rsid w:val="005A671C"/>
    <w:rsid w:val="005A6AE9"/>
    <w:rsid w:val="005A788C"/>
    <w:rsid w:val="005B0E61"/>
    <w:rsid w:val="005B30F2"/>
    <w:rsid w:val="005B47CA"/>
    <w:rsid w:val="005B6AD2"/>
    <w:rsid w:val="005B7BC7"/>
    <w:rsid w:val="005D004F"/>
    <w:rsid w:val="005D3D9B"/>
    <w:rsid w:val="005D40B5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6F0C"/>
    <w:rsid w:val="00610BD8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86E8A"/>
    <w:rsid w:val="006941BD"/>
    <w:rsid w:val="006A1BF2"/>
    <w:rsid w:val="006A642E"/>
    <w:rsid w:val="006A669A"/>
    <w:rsid w:val="006B323D"/>
    <w:rsid w:val="006B6025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212D9"/>
    <w:rsid w:val="00721AB3"/>
    <w:rsid w:val="00721DF7"/>
    <w:rsid w:val="007264D0"/>
    <w:rsid w:val="00732BF8"/>
    <w:rsid w:val="00733CC7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2299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231DC"/>
    <w:rsid w:val="00932B8E"/>
    <w:rsid w:val="00941FC2"/>
    <w:rsid w:val="00942352"/>
    <w:rsid w:val="00971B7E"/>
    <w:rsid w:val="009752EB"/>
    <w:rsid w:val="00977FB5"/>
    <w:rsid w:val="00990AA2"/>
    <w:rsid w:val="00993338"/>
    <w:rsid w:val="0099380C"/>
    <w:rsid w:val="00996C60"/>
    <w:rsid w:val="009A2306"/>
    <w:rsid w:val="009A3149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414F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B4FA0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3263"/>
    <w:rsid w:val="00AF409B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2CF5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44BE"/>
    <w:rsid w:val="00C14ADB"/>
    <w:rsid w:val="00C22618"/>
    <w:rsid w:val="00C258BA"/>
    <w:rsid w:val="00C330FE"/>
    <w:rsid w:val="00C3694D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57A3A"/>
    <w:rsid w:val="00D60007"/>
    <w:rsid w:val="00D625AB"/>
    <w:rsid w:val="00D6383F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5D71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2FC3"/>
    <w:rsid w:val="00DE4697"/>
    <w:rsid w:val="00DE4BFA"/>
    <w:rsid w:val="00DE59FB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374F"/>
    <w:rsid w:val="00E16928"/>
    <w:rsid w:val="00E2319A"/>
    <w:rsid w:val="00E367B2"/>
    <w:rsid w:val="00E437EE"/>
    <w:rsid w:val="00E4380D"/>
    <w:rsid w:val="00E574CF"/>
    <w:rsid w:val="00E64325"/>
    <w:rsid w:val="00E66164"/>
    <w:rsid w:val="00E66849"/>
    <w:rsid w:val="00E70E44"/>
    <w:rsid w:val="00E71660"/>
    <w:rsid w:val="00E72B56"/>
    <w:rsid w:val="00E8016B"/>
    <w:rsid w:val="00E824E2"/>
    <w:rsid w:val="00E83430"/>
    <w:rsid w:val="00E85C16"/>
    <w:rsid w:val="00EA0936"/>
    <w:rsid w:val="00EA2E8B"/>
    <w:rsid w:val="00EA46BD"/>
    <w:rsid w:val="00EA4B7A"/>
    <w:rsid w:val="00EB0A07"/>
    <w:rsid w:val="00EC7EF6"/>
    <w:rsid w:val="00EE015B"/>
    <w:rsid w:val="00EE06E6"/>
    <w:rsid w:val="00EE6910"/>
    <w:rsid w:val="00EF445E"/>
    <w:rsid w:val="00EF4EA3"/>
    <w:rsid w:val="00F001B0"/>
    <w:rsid w:val="00F001E0"/>
    <w:rsid w:val="00F00F93"/>
    <w:rsid w:val="00F0798B"/>
    <w:rsid w:val="00F07DA4"/>
    <w:rsid w:val="00F10745"/>
    <w:rsid w:val="00F1156B"/>
    <w:rsid w:val="00F1271A"/>
    <w:rsid w:val="00F217D3"/>
    <w:rsid w:val="00F227D9"/>
    <w:rsid w:val="00F23DE2"/>
    <w:rsid w:val="00F276CC"/>
    <w:rsid w:val="00F27C23"/>
    <w:rsid w:val="00F3012F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50F0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C757-4716-49CF-AC4E-CBEE115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2021-10-04T06:26:00Z</cp:lastPrinted>
  <dcterms:created xsi:type="dcterms:W3CDTF">2021-10-04T06:35:00Z</dcterms:created>
  <dcterms:modified xsi:type="dcterms:W3CDTF">2021-10-04T06:52:00Z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